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5000" w:type="pct"/>
        <w:tblInd w:w="0" w:type="dxa"/>
        <w:tblBorders>
          <w:top w:val="none" w:color="auto" w:sz="4" w:space="0"/>
          <w:left w:val="none" w:color="auto" w:sz="0" w:space="0"/>
          <w:bottom w:val="none" w:color="auto" w:sz="4" w:space="0"/>
          <w:right w:val="none" w:color="auto" w:sz="0" w:space="0"/>
          <w:insideH w:val="none" w:color="auto" w:sz="4" w:space="0"/>
          <w:insideV w:val="non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78"/>
        <w:gridCol w:w="1495"/>
        <w:gridCol w:w="1412"/>
        <w:gridCol w:w="1412"/>
        <w:gridCol w:w="1412"/>
        <w:gridCol w:w="1413"/>
      </w:tblGrid>
      <w:tr w14:paraId="21574897">
        <w:tblPrEx>
          <w:tblBorders>
            <w:top w:val="none" w:color="auto" w:sz="4" w:space="0"/>
            <w:left w:val="none" w:color="auto" w:sz="0" w:space="0"/>
            <w:bottom w:val="none" w:color="auto" w:sz="4" w:space="0"/>
            <w:right w:val="none" w:color="auto" w:sz="0" w:space="0"/>
            <w:insideH w:val="none" w:color="auto" w:sz="4" w:space="0"/>
            <w:insideV w:val="non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000000" w:sz="4" w:space="0"/>
              <w:bottom w:val="single" w:color="000000" w:sz="4" w:space="0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14:paraId="4224C055">
            <w:pPr>
              <w:spacing w:line="480" w:lineRule="auto"/>
              <w:jc w:val="center"/>
              <w:rPr>
                <w:b/>
              </w:rPr>
            </w:pPr>
            <w:r>
              <w:rPr>
                <w:b/>
              </w:rPr>
              <w:t>id</w:t>
            </w: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14:paraId="4E747899">
            <w:pPr>
              <w:spacing w:line="480" w:lineRule="auto"/>
              <w:jc w:val="center"/>
              <w:rPr>
                <w:b/>
              </w:rPr>
            </w:pPr>
            <w:r>
              <w:rPr>
                <w:b/>
              </w:rPr>
              <w:t>coef</w:t>
            </w: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14:paraId="2FC3E9A3">
            <w:pPr>
              <w:spacing w:line="480" w:lineRule="auto"/>
              <w:jc w:val="center"/>
              <w:rPr>
                <w:b/>
              </w:rPr>
            </w:pPr>
            <w:r>
              <w:rPr>
                <w:b/>
              </w:rPr>
              <w:t>HR</w:t>
            </w: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14:paraId="6ABB260E">
            <w:pPr>
              <w:spacing w:line="480" w:lineRule="auto"/>
              <w:jc w:val="center"/>
              <w:rPr>
                <w:b/>
              </w:rPr>
            </w:pPr>
            <w:r>
              <w:rPr>
                <w:b/>
              </w:rPr>
              <w:t>HR.95L</w:t>
            </w: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14:paraId="3EC0F4DE">
            <w:pPr>
              <w:spacing w:line="480" w:lineRule="auto"/>
              <w:jc w:val="center"/>
              <w:rPr>
                <w:b/>
              </w:rPr>
            </w:pPr>
            <w:r>
              <w:rPr>
                <w:b/>
              </w:rPr>
              <w:t>HR.95H</w:t>
            </w: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</w:tcBorders>
            <w:tcMar>
              <w:left w:w="108" w:type="dxa"/>
              <w:right w:w="108" w:type="dxa"/>
            </w:tcMar>
            <w:vAlign w:val="center"/>
          </w:tcPr>
          <w:p w14:paraId="62573559">
            <w:pPr>
              <w:spacing w:line="480" w:lineRule="auto"/>
              <w:jc w:val="center"/>
              <w:rPr>
                <w:b/>
              </w:rPr>
            </w:pPr>
            <w:r>
              <w:rPr>
                <w:b/>
              </w:rPr>
              <w:t>pvalue</w:t>
            </w:r>
          </w:p>
        </w:tc>
      </w:tr>
      <w:tr w14:paraId="5F743248">
        <w:tblPrEx>
          <w:tblBorders>
            <w:top w:val="none" w:color="auto" w:sz="4" w:space="0"/>
            <w:left w:val="none" w:color="auto" w:sz="0" w:space="0"/>
            <w:bottom w:val="none" w:color="auto" w:sz="4" w:space="0"/>
            <w:right w:val="none" w:color="auto" w:sz="0" w:space="0"/>
            <w:insideH w:val="none" w:color="auto" w:sz="4" w:space="0"/>
            <w:insideV w:val="non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000000" w:sz="4" w:space="0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14:paraId="211008B3">
            <w:pPr>
              <w:spacing w:line="480" w:lineRule="auto"/>
            </w:pPr>
            <w:r>
              <w:t>MEIS1</w:t>
            </w: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14:paraId="6E7AD1F2">
            <w:pPr>
              <w:spacing w:line="480" w:lineRule="auto"/>
            </w:pPr>
            <w:r>
              <w:t>-0.22231542</w:t>
            </w: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14:paraId="66B0FC7D">
            <w:pPr>
              <w:spacing w:line="480" w:lineRule="auto"/>
            </w:pPr>
            <w:r>
              <w:t>0.80066278</w:t>
            </w: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14:paraId="457BAC6D">
            <w:pPr>
              <w:spacing w:line="480" w:lineRule="auto"/>
            </w:pPr>
            <w:r>
              <w:t>0.59444329</w:t>
            </w: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14:paraId="11573D92">
            <w:pPr>
              <w:spacing w:line="480" w:lineRule="auto"/>
            </w:pPr>
            <w:r>
              <w:t>1.07842226</w:t>
            </w: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nil"/>
            </w:tcBorders>
            <w:tcMar>
              <w:left w:w="108" w:type="dxa"/>
              <w:right w:w="108" w:type="dxa"/>
            </w:tcMar>
            <w:vAlign w:val="center"/>
          </w:tcPr>
          <w:p w14:paraId="19C63FBF">
            <w:pPr>
              <w:spacing w:line="480" w:lineRule="auto"/>
            </w:pPr>
            <w:r>
              <w:t>0.14344205</w:t>
            </w:r>
          </w:p>
        </w:tc>
      </w:tr>
      <w:tr w14:paraId="196A9E36">
        <w:tblPrEx>
          <w:tblBorders>
            <w:top w:val="none" w:color="auto" w:sz="4" w:space="0"/>
            <w:left w:val="none" w:color="auto" w:sz="0" w:space="0"/>
            <w:bottom w:val="none" w:color="auto" w:sz="4" w:space="0"/>
            <w:right w:val="none" w:color="auto" w:sz="0" w:space="0"/>
            <w:insideH w:val="none" w:color="auto" w:sz="4" w:space="0"/>
            <w:insideV w:val="non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14:paraId="0FB3400F">
            <w:pPr>
              <w:spacing w:line="480" w:lineRule="auto"/>
            </w:pPr>
            <w:r>
              <w:t>XCR1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14:paraId="3CB1F358">
            <w:pPr>
              <w:spacing w:line="480" w:lineRule="auto"/>
            </w:pPr>
            <w:r>
              <w:t>-0.26684995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14:paraId="3F0ED36F">
            <w:pPr>
              <w:spacing w:line="480" w:lineRule="auto"/>
            </w:pPr>
            <w:r>
              <w:t>0.76578797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14:paraId="2D11A9FB">
            <w:pPr>
              <w:spacing w:line="480" w:lineRule="auto"/>
            </w:pPr>
            <w:r>
              <w:t>0.55833958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14:paraId="54CF9B3C">
            <w:pPr>
              <w:spacing w:line="480" w:lineRule="auto"/>
            </w:pPr>
            <w:r>
              <w:t>1.0503128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  <w:tcMar>
              <w:left w:w="108" w:type="dxa"/>
              <w:right w:w="108" w:type="dxa"/>
            </w:tcMar>
            <w:vAlign w:val="center"/>
          </w:tcPr>
          <w:p w14:paraId="5107BD1E">
            <w:pPr>
              <w:spacing w:line="480" w:lineRule="auto"/>
            </w:pPr>
            <w:r>
              <w:t>0.09783532</w:t>
            </w:r>
          </w:p>
        </w:tc>
      </w:tr>
      <w:tr w14:paraId="19F69489">
        <w:tblPrEx>
          <w:tblBorders>
            <w:top w:val="none" w:color="auto" w:sz="4" w:space="0"/>
            <w:left w:val="none" w:color="auto" w:sz="0" w:space="0"/>
            <w:bottom w:val="none" w:color="auto" w:sz="4" w:space="0"/>
            <w:right w:val="none" w:color="auto" w:sz="0" w:space="0"/>
            <w:insideH w:val="none" w:color="auto" w:sz="4" w:space="0"/>
            <w:insideV w:val="non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nil"/>
              <w:bottom w:val="single" w:color="000000" w:sz="4" w:space="0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14:paraId="25EA3CA7">
            <w:pPr>
              <w:spacing w:line="480" w:lineRule="auto"/>
            </w:pPr>
            <w:r>
              <w:t>ARHGAP4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14:paraId="66D00391">
            <w:pPr>
              <w:spacing w:line="480" w:lineRule="auto"/>
            </w:pPr>
            <w:r>
              <w:t>-0.31963429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14:paraId="2847FB5E">
            <w:pPr>
              <w:spacing w:line="480" w:lineRule="auto"/>
            </w:pPr>
            <w:r>
              <w:t>0.72641464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14:paraId="1D5E1024">
            <w:pPr>
              <w:spacing w:line="480" w:lineRule="auto"/>
            </w:pPr>
            <w:r>
              <w:t>0.58177756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14:paraId="5FEA74F3">
            <w:pPr>
              <w:spacing w:line="480" w:lineRule="auto"/>
            </w:pPr>
            <w:r>
              <w:t>0.90701028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</w:tcBorders>
            <w:tcMar>
              <w:left w:w="108" w:type="dxa"/>
              <w:right w:w="108" w:type="dxa"/>
            </w:tcMar>
            <w:vAlign w:val="center"/>
          </w:tcPr>
          <w:p w14:paraId="7E18B9A6">
            <w:pPr>
              <w:spacing w:line="480" w:lineRule="auto"/>
            </w:pPr>
            <w:r>
              <w:t>0.00477955</w:t>
            </w:r>
          </w:p>
        </w:tc>
      </w:tr>
    </w:tbl>
    <w:p w14:paraId="0CF6115E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AB93D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theme="minorBidi"/>
      <w:bCs/>
      <w:kern w:val="2"/>
      <w:sz w:val="24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2025-10-09T06:47:41Z</dcterms:created>
  <dc:creator>李平</dc:creator>
  <cp:lastModifiedBy>楚谷</cp:lastModifiedBy>
  <dcterms:modified xsi:type="dcterms:W3CDTF">2025-10-09T06:47:47Z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eyJoZGlkIjoiYjI3MjNhM2RkMDgwZDZmZjA3M2I3MzM4OWE2M2ViZGMiLCJ1c2VySWQiOiIxMTQ1OTE5OTA2In0=</vt:lpwstr>
  </property>
  <property fmtid="{D5CDD505-2E9C-101B-9397-08002B2CF9AE}" pid="4" name="ICV">
    <vt:lpwstr>CBC99D745DB6453996AB8020153F94E5_12</vt:lpwstr>
  </property>
</Properties>
</file>